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&#65279;<?xml version="1.0" encoding="utf-8" standalone="yes"?>
<Relationships xmlns="http://schemas.openxmlformats.org/package/2006/relationships">
  <Relationship Id="rId1" Type="http://schemas.openxmlformats.org/officeDocument/2006/relationships/officeDocument" Target="word/document.xml" />
  <Relationship Id="rId4" Type="http://schemas.openxmlformats.org/officeDocument/2006/relationships/custom-properties" Target="docProps/custom.xml" />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/>
        <w:jc w:val="center"/>
      </w:pPr>
      <w:r>
        <w:rPr>
          <w:rFonts w:ascii="Yu Gothic" w:cs="Yu Gothic" w:eastAsia="Yu Gothic" w:hAnsi="Yu Gothic"/>
          <w:b/>
          <w:bCs/>
          <w:sz w:val="28"/>
          <w:szCs w:val="28"/>
        </w:rPr>
        <w:t xml:space="preserve">（別紙）　評価基準表</w:t>
      </w:r>
    </w:p>
    <w:p>
      <w:pPr>
        <w:spacing w:after="0"/>
      </w:pPr>
    </w:p>
    <w:p>
      <w:pPr>
        <w:spacing w:after="70" w:line="320"/>
        <w:jc w:val="both"/>
      </w:pPr>
      <w:r>
        <w:t xml:space="preserve">　本評価基準表は、令和８年度　八戸市　ダイヤ編成業務ＤＸ人材育成業務　公募型プロポーザルにおける審査の基準を定めるものである。評価は100点満点とする。</w:t>
      </w:r>
    </w:p>
    <w:p>
      <w:pPr>
        <w:spacing w:after="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626"/>
        <w:gridCol w:w="1400"/>
      </w:tblGrid>
      <w:tr>
        <w:trPr>
          <w:tblHeader/>
        </w:trPr>
        <w:tc>
          <w:tcPr>
            <w:tcW w:type="dxa" w:w="7626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CE6F1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line="300"/>
              <w:jc w:val="center"/>
            </w:pPr>
            <w:r>
              <w:rPr>
                <w:rFonts w:ascii="Yu Gothic" w:cs="Yu Gothic" w:eastAsia="Yu Gothic" w:hAnsi="Yu Gothic"/>
                <w:b/>
                <w:bCs/>
                <w:sz w:val="21"/>
                <w:szCs w:val="21"/>
              </w:rPr>
              <w:t xml:space="preserve">評価項目／主な着眼点</w:t>
            </w:r>
          </w:p>
        </w:tc>
        <w:tc>
          <w:tcPr>
            <w:tcW w:type="dxa" w:w="14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CE6F1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line="300"/>
              <w:jc w:val="center"/>
            </w:pPr>
            <w:r>
              <w:rPr>
                <w:rFonts w:ascii="Yu Gothic" w:cs="Yu Gothic" w:eastAsia="Yu Gothic" w:hAnsi="Yu Gothic"/>
                <w:b/>
                <w:bCs/>
                <w:sz w:val="21"/>
                <w:szCs w:val="21"/>
              </w:rPr>
              <w:t xml:space="preserve">配点</w:t>
            </w:r>
          </w:p>
        </w:tc>
      </w:tr>
      <w:tr>
        <w:tc>
          <w:tcPr>
            <w:tcW w:type="dxa" w:w="9026"/>
            <w:gridSpan w:val="2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EAF1F8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line="300"/>
              <w:jc w:val="left"/>
            </w:pPr>
            <w:r>
              <w:rPr>
                <w:rFonts w:ascii="Yu Gothic" w:cs="Yu Gothic" w:eastAsia="Yu Gothic" w:hAnsi="Yu Gothic"/>
                <w:b/>
                <w:bCs/>
                <w:sz w:val="21"/>
                <w:szCs w:val="21"/>
              </w:rPr>
              <w:t xml:space="preserve">Ⅰ　企業の適格性・実績　（小計20点）</w:t>
            </w:r>
          </w:p>
        </w:tc>
      </w:tr>
      <w:tr>
        <w:tc>
          <w:tcPr>
            <w:tcW w:type="dxa" w:w="7626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line="300"/>
              <w:jc w:val="left"/>
            </w:pPr>
            <w:r>
              <w:rPr>
                <w:rFonts w:ascii="Yu Mincho" w:cs="Yu Mincho" w:eastAsia="Yu Mincho" w:hAnsi="Yu Mincho"/>
                <w:b w:val="false"/>
                <w:bCs w:val="false"/>
                <w:sz w:val="21"/>
                <w:szCs w:val="21"/>
              </w:rPr>
              <w:t xml:space="preserve">　・類似業務（交通インフラ等におけるＤＸ・人材育成等）の実績及びノウハウの蓄積</w:t>
            </w:r>
          </w:p>
        </w:tc>
        <w:tc>
          <w:tcPr>
            <w:tcW w:type="dxa" w:w="14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line="300"/>
              <w:jc w:val="center"/>
            </w:pPr>
            <w:r>
              <w:rPr>
                <w:rFonts w:ascii="Yu Mincho" w:cs="Yu Mincho" w:eastAsia="Yu Mincho" w:hAnsi="Yu Mincho"/>
                <w:b w:val="false"/>
                <w:bCs w:val="false"/>
                <w:sz w:val="21"/>
                <w:szCs w:val="21"/>
              </w:rPr>
              <w:t xml:space="preserve">10</w:t>
            </w:r>
          </w:p>
        </w:tc>
      </w:tr>
      <w:tr>
        <w:tc>
          <w:tcPr>
            <w:tcW w:type="dxa" w:w="7626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line="300"/>
              <w:jc w:val="left"/>
            </w:pPr>
            <w:r>
              <w:rPr>
                <w:rFonts w:ascii="Yu Mincho" w:cs="Yu Mincho" w:eastAsia="Yu Mincho" w:hAnsi="Yu Mincho"/>
                <w:b w:val="false"/>
                <w:bCs w:val="false"/>
                <w:sz w:val="21"/>
                <w:szCs w:val="21"/>
              </w:rPr>
              <w:t xml:space="preserve">　・プロジェクトの実施体制（配置予定者の資格・経験、業務遂行体制の妥当性）</w:t>
            </w:r>
          </w:p>
        </w:tc>
        <w:tc>
          <w:tcPr>
            <w:tcW w:type="dxa" w:w="14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line="300"/>
              <w:jc w:val="center"/>
            </w:pPr>
            <w:r>
              <w:rPr>
                <w:rFonts w:ascii="Yu Mincho" w:cs="Yu Mincho" w:eastAsia="Yu Mincho" w:hAnsi="Yu Mincho"/>
                <w:b w:val="false"/>
                <w:bCs w:val="false"/>
                <w:sz w:val="21"/>
                <w:szCs w:val="21"/>
              </w:rPr>
              <w:t xml:space="preserve">10</w:t>
            </w:r>
          </w:p>
        </w:tc>
      </w:tr>
      <w:tr>
        <w:tc>
          <w:tcPr>
            <w:tcW w:type="dxa" w:w="9026"/>
            <w:gridSpan w:val="2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EAF1F8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line="300"/>
              <w:jc w:val="left"/>
            </w:pPr>
            <w:r>
              <w:rPr>
                <w:rFonts w:ascii="Yu Gothic" w:cs="Yu Gothic" w:eastAsia="Yu Gothic" w:hAnsi="Yu Gothic"/>
                <w:b/>
                <w:bCs/>
                <w:sz w:val="21"/>
                <w:szCs w:val="21"/>
              </w:rPr>
              <w:t xml:space="preserve">Ⅱ　業務内容の理解度　（小計15点）</w:t>
            </w:r>
          </w:p>
        </w:tc>
      </w:tr>
      <w:tr>
        <w:tc>
          <w:tcPr>
            <w:tcW w:type="dxa" w:w="7626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line="300"/>
              <w:jc w:val="left"/>
            </w:pPr>
            <w:r>
              <w:rPr>
                <w:rFonts w:ascii="Yu Mincho" w:cs="Yu Mincho" w:eastAsia="Yu Mincho" w:hAnsi="Yu Mincho"/>
                <w:b w:val="false"/>
                <w:bCs w:val="false"/>
                <w:sz w:val="21"/>
                <w:szCs w:val="21"/>
              </w:rPr>
              <w:t xml:space="preserve">　・本市が直面する課題（運転士不足、複数案の客観的シミュレーションができないボトルネック等）の的確な把握</w:t>
            </w:r>
          </w:p>
        </w:tc>
        <w:tc>
          <w:tcPr>
            <w:tcW w:type="dxa" w:w="14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line="300"/>
              <w:jc w:val="center"/>
            </w:pPr>
            <w:r>
              <w:rPr>
                <w:rFonts w:ascii="Yu Mincho" w:cs="Yu Mincho" w:eastAsia="Yu Mincho" w:hAnsi="Yu Mincho"/>
                <w:b w:val="false"/>
                <w:bCs w:val="false"/>
                <w:sz w:val="21"/>
                <w:szCs w:val="21"/>
              </w:rPr>
              <w:t xml:space="preserve">8</w:t>
            </w:r>
          </w:p>
        </w:tc>
      </w:tr>
      <w:tr>
        <w:tc>
          <w:tcPr>
            <w:tcW w:type="dxa" w:w="7626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line="300"/>
              <w:jc w:val="left"/>
            </w:pPr>
            <w:r>
              <w:rPr>
                <w:rFonts w:ascii="Yu Mincho" w:cs="Yu Mincho" w:eastAsia="Yu Mincho" w:hAnsi="Yu Mincho"/>
                <w:b w:val="false"/>
                <w:bCs w:val="false"/>
                <w:sz w:val="21"/>
                <w:szCs w:val="21"/>
              </w:rPr>
              <w:t xml:space="preserve">　・部署間（交通部・政策推進課等）の体制上の課題に対する理解</w:t>
            </w:r>
          </w:p>
        </w:tc>
        <w:tc>
          <w:tcPr>
            <w:tcW w:type="dxa" w:w="14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line="300"/>
              <w:jc w:val="center"/>
            </w:pPr>
            <w:r>
              <w:rPr>
                <w:rFonts w:ascii="Yu Mincho" w:cs="Yu Mincho" w:eastAsia="Yu Mincho" w:hAnsi="Yu Mincho"/>
                <w:b w:val="false"/>
                <w:bCs w:val="false"/>
                <w:sz w:val="21"/>
                <w:szCs w:val="21"/>
              </w:rPr>
              <w:t xml:space="preserve">7</w:t>
            </w:r>
          </w:p>
        </w:tc>
      </w:tr>
      <w:tr>
        <w:tc>
          <w:tcPr>
            <w:tcW w:type="dxa" w:w="9026"/>
            <w:gridSpan w:val="2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EAF1F8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line="300"/>
              <w:jc w:val="left"/>
            </w:pPr>
            <w:r>
              <w:rPr>
                <w:rFonts w:ascii="Yu Gothic" w:cs="Yu Gothic" w:eastAsia="Yu Gothic" w:hAnsi="Yu Gothic"/>
                <w:b/>
                <w:bCs/>
                <w:sz w:val="21"/>
                <w:szCs w:val="21"/>
              </w:rPr>
              <w:t xml:space="preserve">Ⅲ　技術力・システム要件　（小計25点）</w:t>
            </w:r>
          </w:p>
        </w:tc>
      </w:tr>
      <w:tr>
        <w:tc>
          <w:tcPr>
            <w:tcW w:type="dxa" w:w="7626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line="300"/>
              <w:jc w:val="left"/>
            </w:pPr>
            <w:r>
              <w:rPr>
                <w:rFonts w:ascii="Yu Mincho" w:cs="Yu Mincho" w:eastAsia="Yu Mincho" w:hAnsi="Yu Mincho"/>
                <w:b w:val="false"/>
                <w:bCs w:val="false"/>
                <w:sz w:val="21"/>
                <w:szCs w:val="21"/>
              </w:rPr>
              <w:t xml:space="preserve">　・現場に寄り添ったＵＩ／ＵＸの設計力（既存帳票をベースとした画面設計）</w:t>
            </w:r>
          </w:p>
        </w:tc>
        <w:tc>
          <w:tcPr>
            <w:tcW w:type="dxa" w:w="14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line="300"/>
              <w:jc w:val="center"/>
            </w:pPr>
            <w:r>
              <w:rPr>
                <w:rFonts w:ascii="Yu Mincho" w:cs="Yu Mincho" w:eastAsia="Yu Mincho" w:hAnsi="Yu Mincho"/>
                <w:b w:val="false"/>
                <w:bCs w:val="false"/>
                <w:sz w:val="21"/>
                <w:szCs w:val="21"/>
              </w:rPr>
              <w:t xml:space="preserve">8</w:t>
            </w:r>
          </w:p>
        </w:tc>
      </w:tr>
      <w:tr>
        <w:tc>
          <w:tcPr>
            <w:tcW w:type="dxa" w:w="7626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line="300"/>
              <w:jc w:val="left"/>
            </w:pPr>
            <w:r>
              <w:rPr>
                <w:rFonts w:ascii="Yu Mincho" w:cs="Yu Mincho" w:eastAsia="Yu Mincho" w:hAnsi="Yu Mincho"/>
                <w:b w:val="false"/>
                <w:bCs w:val="false"/>
                <w:sz w:val="21"/>
                <w:szCs w:val="21"/>
              </w:rPr>
              <w:t xml:space="preserve">　・データ連携及び自動化の手法（既存システムとの連携による手入力の削減）</w:t>
            </w:r>
          </w:p>
        </w:tc>
        <w:tc>
          <w:tcPr>
            <w:tcW w:type="dxa" w:w="14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line="300"/>
              <w:jc w:val="center"/>
            </w:pPr>
            <w:r>
              <w:rPr>
                <w:rFonts w:ascii="Yu Mincho" w:cs="Yu Mincho" w:eastAsia="Yu Mincho" w:hAnsi="Yu Mincho"/>
                <w:b w:val="false"/>
                <w:bCs w:val="false"/>
                <w:sz w:val="21"/>
                <w:szCs w:val="21"/>
              </w:rPr>
              <w:t xml:space="preserve">9</w:t>
            </w:r>
          </w:p>
        </w:tc>
      </w:tr>
      <w:tr>
        <w:tc>
          <w:tcPr>
            <w:tcW w:type="dxa" w:w="7626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line="300"/>
              <w:jc w:val="left"/>
            </w:pPr>
            <w:r>
              <w:rPr>
                <w:rFonts w:ascii="Yu Mincho" w:cs="Yu Mincho" w:eastAsia="Yu Mincho" w:hAnsi="Yu Mincho"/>
                <w:b w:val="false"/>
                <w:bCs w:val="false"/>
                <w:sz w:val="21"/>
                <w:szCs w:val="21"/>
              </w:rPr>
              <w:t xml:space="preserve">　・特定の製品・ベンダーに依存しないオープンなアーキテクチャの提案</w:t>
            </w:r>
          </w:p>
        </w:tc>
        <w:tc>
          <w:tcPr>
            <w:tcW w:type="dxa" w:w="14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line="300"/>
              <w:jc w:val="center"/>
            </w:pPr>
            <w:r>
              <w:rPr>
                <w:rFonts w:ascii="Yu Mincho" w:cs="Yu Mincho" w:eastAsia="Yu Mincho" w:hAnsi="Yu Mincho"/>
                <w:b w:val="false"/>
                <w:bCs w:val="false"/>
                <w:sz w:val="21"/>
                <w:szCs w:val="21"/>
              </w:rPr>
              <w:t xml:space="preserve">8</w:t>
            </w:r>
          </w:p>
        </w:tc>
      </w:tr>
      <w:tr>
        <w:tc>
          <w:tcPr>
            <w:tcW w:type="dxa" w:w="9026"/>
            <w:gridSpan w:val="2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EAF1F8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line="300"/>
              <w:jc w:val="left"/>
            </w:pPr>
            <w:r>
              <w:rPr>
                <w:rFonts w:ascii="Yu Gothic" w:cs="Yu Gothic" w:eastAsia="Yu Gothic" w:hAnsi="Yu Gothic"/>
                <w:b/>
                <w:bCs/>
                <w:sz w:val="21"/>
                <w:szCs w:val="21"/>
              </w:rPr>
              <w:t xml:space="preserve">Ⅳ　人材・組織育成の手法　（小計25点）</w:t>
            </w:r>
          </w:p>
        </w:tc>
      </w:tr>
      <w:tr>
        <w:tc>
          <w:tcPr>
            <w:tcW w:type="dxa" w:w="7626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line="300"/>
              <w:jc w:val="left"/>
            </w:pPr>
            <w:r>
              <w:rPr>
                <w:rFonts w:ascii="Yu Mincho" w:cs="Yu Mincho" w:eastAsia="Yu Mincho" w:hAnsi="Yu Mincho"/>
                <w:b w:val="false"/>
                <w:bCs w:val="false"/>
                <w:sz w:val="21"/>
                <w:szCs w:val="21"/>
              </w:rPr>
              <w:t xml:space="preserve">　・暗黙知の言語化・形式化（要件定義）に係る手法の具体性</w:t>
            </w:r>
          </w:p>
        </w:tc>
        <w:tc>
          <w:tcPr>
            <w:tcW w:type="dxa" w:w="14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line="300"/>
              <w:jc w:val="center"/>
            </w:pPr>
            <w:r>
              <w:rPr>
                <w:rFonts w:ascii="Yu Mincho" w:cs="Yu Mincho" w:eastAsia="Yu Mincho" w:hAnsi="Yu Mincho"/>
                <w:b w:val="false"/>
                <w:bCs w:val="false"/>
                <w:sz w:val="21"/>
                <w:szCs w:val="21"/>
              </w:rPr>
              <w:t xml:space="preserve">8</w:t>
            </w:r>
          </w:p>
        </w:tc>
      </w:tr>
      <w:tr>
        <w:tc>
          <w:tcPr>
            <w:tcW w:type="dxa" w:w="7626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line="300"/>
              <w:jc w:val="left"/>
            </w:pPr>
            <w:r>
              <w:rPr>
                <w:rFonts w:ascii="Yu Mincho" w:cs="Yu Mincho" w:eastAsia="Yu Mincho" w:hAnsi="Yu Mincho"/>
                <w:b w:val="false"/>
                <w:bCs w:val="false"/>
                <w:sz w:val="21"/>
                <w:szCs w:val="21"/>
              </w:rPr>
              <w:t xml:space="preserve">　・自走化に向けたＯＪＴ及びワークショップの具体性・実効性</w:t>
            </w:r>
          </w:p>
        </w:tc>
        <w:tc>
          <w:tcPr>
            <w:tcW w:type="dxa" w:w="14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line="300"/>
              <w:jc w:val="center"/>
            </w:pPr>
            <w:r>
              <w:rPr>
                <w:rFonts w:ascii="Yu Mincho" w:cs="Yu Mincho" w:eastAsia="Yu Mincho" w:hAnsi="Yu Mincho"/>
                <w:b w:val="false"/>
                <w:bCs w:val="false"/>
                <w:sz w:val="21"/>
                <w:szCs w:val="21"/>
              </w:rPr>
              <w:t xml:space="preserve">12</w:t>
            </w:r>
          </w:p>
        </w:tc>
      </w:tr>
      <w:tr>
        <w:tc>
          <w:tcPr>
            <w:tcW w:type="dxa" w:w="7626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line="300"/>
              <w:jc w:val="left"/>
            </w:pPr>
            <w:r>
              <w:rPr>
                <w:rFonts w:ascii="Yu Mincho" w:cs="Yu Mincho" w:eastAsia="Yu Mincho" w:hAnsi="Yu Mincho"/>
                <w:b w:val="false"/>
                <w:bCs w:val="false"/>
                <w:sz w:val="21"/>
                <w:szCs w:val="21"/>
              </w:rPr>
              <w:t xml:space="preserve">　・部署横断的なデータ活用型組織の構築及び合意形成支援に係る提案</w:t>
            </w:r>
          </w:p>
        </w:tc>
        <w:tc>
          <w:tcPr>
            <w:tcW w:type="dxa" w:w="14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line="300"/>
              <w:jc w:val="center"/>
            </w:pPr>
            <w:r>
              <w:rPr>
                <w:rFonts w:ascii="Yu Mincho" w:cs="Yu Mincho" w:eastAsia="Yu Mincho" w:hAnsi="Yu Mincho"/>
                <w:b w:val="false"/>
                <w:bCs w:val="false"/>
                <w:sz w:val="21"/>
                <w:szCs w:val="21"/>
              </w:rPr>
              <w:t xml:space="preserve">5</w:t>
            </w:r>
          </w:p>
        </w:tc>
      </w:tr>
      <w:tr>
        <w:tc>
          <w:tcPr>
            <w:tcW w:type="dxa" w:w="9026"/>
            <w:gridSpan w:val="2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EAF1F8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line="300"/>
              <w:jc w:val="left"/>
            </w:pPr>
            <w:r>
              <w:rPr>
                <w:rFonts w:ascii="Yu Gothic" w:cs="Yu Gothic" w:eastAsia="Yu Gothic" w:hAnsi="Yu Gothic"/>
                <w:b/>
                <w:bCs/>
                <w:sz w:val="21"/>
                <w:szCs w:val="21"/>
              </w:rPr>
              <w:t xml:space="preserve">Ⅴ　経費の妥当性　（小計15点）</w:t>
            </w:r>
          </w:p>
        </w:tc>
      </w:tr>
      <w:tr>
        <w:tc>
          <w:tcPr>
            <w:tcW w:type="dxa" w:w="7626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line="300"/>
              <w:jc w:val="left"/>
            </w:pPr>
            <w:r>
              <w:rPr>
                <w:rFonts w:ascii="Yu Mincho" w:cs="Yu Mincho" w:eastAsia="Yu Mincho" w:hAnsi="Yu Mincho"/>
                <w:b w:val="false"/>
                <w:bCs w:val="false"/>
                <w:sz w:val="21"/>
                <w:szCs w:val="21"/>
              </w:rPr>
              <w:t>・見積金額の妥当性及び内訳の明確性（費用対効果を含む）</w:t>
            </w:r>
          </w:p>
        </w:tc>
        <w:tc>
          <w:tcPr>
            <w:tcW w:type="dxa" w:w="14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line="300"/>
              <w:jc w:val="center"/>
            </w:pPr>
            <w:r>
              <w:rPr>
                <w:rFonts w:ascii="Yu Mincho" w:cs="Yu Mincho" w:eastAsia="Yu Mincho" w:hAnsi="Yu Mincho"/>
                <w:b w:val="false"/>
                <w:bCs w:val="false"/>
                <w:sz w:val="21"/>
                <w:szCs w:val="21"/>
              </w:rPr>
              <w:t xml:space="preserve">15</w:t>
            </w:r>
          </w:p>
        </w:tc>
      </w:tr>
      <w:tr>
        <w:tc>
          <w:tcPr>
            <w:tcW w:type="dxa" w:w="7626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CE6F1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line="300"/>
              <w:jc w:val="center"/>
            </w:pPr>
            <w:r>
              <w:rPr>
                <w:rFonts w:ascii="Yu Gothic" w:cs="Yu Gothic" w:eastAsia="Yu Gothic" w:hAnsi="Yu Gothic"/>
                <w:b/>
                <w:bCs/>
                <w:sz w:val="21"/>
                <w:szCs w:val="21"/>
              </w:rPr>
              <w:t xml:space="preserve">合　計</w:t>
            </w:r>
          </w:p>
        </w:tc>
        <w:tc>
          <w:tcPr>
            <w:tcW w:type="dxa" w:w="1400"/>
            <w:tcBorders>
              <w:top w:val="single" w:color="808080" w:sz="4"/>
              <w:left w:val="single" w:color="808080" w:sz="4"/>
              <w:bottom w:val="single" w:color="808080" w:sz="4"/>
              <w:right w:val="single" w:color="808080" w:sz="4"/>
            </w:tcBorders>
            <w:shd w:fill="DCE6F1" w:val="clear"/>
            <w:tcMar>
              <w:top w:type="dxa" w:w="60"/>
              <w:left w:type="dxa" w:w="110"/>
              <w:bottom w:type="dxa" w:w="60"/>
              <w:right w:type="dxa" w:w="110"/>
            </w:tcMar>
            <w:vAlign w:val="center"/>
          </w:tcPr>
          <w:p>
            <w:pPr>
              <w:spacing w:after="0" w:line="300"/>
              <w:jc w:val="center"/>
            </w:pPr>
            <w:r>
              <w:rPr>
                <w:rFonts w:ascii="Yu Gothic" w:cs="Yu Gothic" w:eastAsia="Yu Gothic" w:hAnsi="Yu Gothic"/>
                <w:b/>
                <w:bCs/>
                <w:sz w:val="21"/>
                <w:szCs w:val="21"/>
              </w:rPr>
              <w:t xml:space="preserve">100</w:t>
            </w:r>
          </w:p>
        </w:tc>
      </w:tr>
    </w:tbl>
    <w:p>
      <w:pPr>
        <w:spacing w:after="0"/>
      </w:pPr>
    </w:p>
    <w:p>
      <w:pPr>
        <w:keepNext/>
        <w:spacing w:after="100" w:before="260"/>
      </w:pPr>
      <w:r>
        <w:rPr>
          <w:rFonts w:ascii="Yu Gothic" w:cs="Yu Gothic" w:eastAsia="Yu Gothic" w:hAnsi="Yu Gothic"/>
          <w:b/>
          <w:bCs/>
          <w:sz w:val="23"/>
          <w:szCs w:val="23"/>
        </w:rPr>
        <w:t xml:space="preserve">評価方法等</w:t>
      </w:r>
    </w:p>
    <w:p>
      <w:pPr>
        <w:spacing w:after="50" w:line="320"/>
        <w:ind w:left="460" w:hanging="320"/>
        <w:jc w:val="both"/>
      </w:pPr>
      <w:r>
        <w:t xml:space="preserve">各選定委員が評価項目ごとに採点し、その合計（各委員の評価点の平均）をもって評価点とする。</w:t>
      </w:r>
    </w:p>
    <w:p>
      <w:pPr>
        <w:spacing w:after="50" w:line="320"/>
        <w:ind w:left="460" w:hanging="320"/>
        <w:jc w:val="both"/>
      </w:pPr>
      <w:r>
        <w:t xml:space="preserve">評価点の合計が満点の６割（60点）に満たない提案は、最優秀提案者として特定しないことがある。</w:t>
      </w:r>
    </w:p>
    <w:p>
      <w:pPr>
        <w:spacing w:after="50" w:line="320"/>
        <w:ind w:left="460" w:hanging="320"/>
        <w:jc w:val="both"/>
      </w:pPr>
      <w:r>
        <w:t>「経費の妥当性」は、委託料の上限額（金29,970,000円（消費税及び地方消費税を含む。））を踏まえ、提案内容に対する金額の妥当性を評価するものであり、単に最低価格の提案に高い評価を与えるものではない。なお、参考見積書（本格開発及び運用に係る概算）は、本市の今後の予算化の参考とするものであり、本審査の評価（採点）の対象とはしない。</w:t>
      </w:r>
    </w:p>
    <w:sectPr>
      <w:footerReference w:type="default" r:id="rId7"/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 w:before="0"/>
      <w:jc w:val="center"/>
    </w:pPr>
    <w:r>
      <w:rPr>
        <w:rFonts w:ascii="Yu Mincho" w:cs="Yu Mincho" w:eastAsia="Yu Mincho" w:hAnsi="Yu Mincho"/>
        <w:sz w:val="18"/>
        <w:szCs w:val="18"/>
      </w:rPr>
      <w:t xml:space="preserve">‐ </w:t>
      <w:fldChar w:fldCharType="begin"/>
      <w:instrText xml:space="preserve">PAGE</w:instrText>
      <w:fldChar w:fldCharType="separate"/>
      <w:fldChar w:fldCharType="end"/>
      <w:t xml:space="preserve"> ‐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Yu Mincho" w:cs="Yu Mincho" w:eastAsia="Yu Mincho" w:hAnsi="Yu Mincho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&#65279;<?xml version="1.0" encoding="utf-8" standalone="yes"?>
<Relationships xmlns="http://schemas.openxmlformats.org/package/2006/relationships">
  <Relationship Id="rId1" Type="http://schemas.openxmlformats.org/officeDocument/2006/relationships/styles" Target="styles.xml" />
  <Relationship Id="rId2" Type="http://schemas.openxmlformats.org/officeDocument/2006/relationships/numbering" Target="numbering.xml" />
  <Relationship Id="rId3" Type="http://schemas.openxmlformats.org/officeDocument/2006/relationships/footnotes" Target="footnotes.xml" />
  <Relationship Id="rId4" Type="http://schemas.openxmlformats.org/officeDocument/2006/relationships/endnotes" Target="endnotes.xml" />
  <Relationship Id="rId5" Type="http://schemas.openxmlformats.org/officeDocument/2006/relationships/settings" Target="settings.xml" />
  <Relationship Id="rId6" Type="http://schemas.openxmlformats.org/officeDocument/2006/relationships/comments" Target="comments.xml" />
  <Relationship Id="rId7" Type="http://schemas.openxmlformats.org/officeDocument/2006/relationships/footer" Target="footer1.xml" />
  <Relationship Id="rId8" Type="http://schemas.openxmlformats.org/officeDocument/2006/relationships/fontTable" Target="fontTable.xml" />
</Relationships>
</file>

<file path=docProps/custom.xml><?xml version="1.0" encoding="utf-8"?>
<Properties xmlns="http://schemas.openxmlformats.org/officeDocument/2006/custom-properties" xmlns:vt="http://schemas.openxmlformats.org/officeDocument/2006/docPropsVTypes"/>
</file>